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5CA" w:rsidRDefault="00A545CA" w:rsidP="00A545CA">
      <w:pPr>
        <w:spacing w:line="480" w:lineRule="auto"/>
        <w:jc w:val="center"/>
        <w:rPr>
          <w:rFonts w:ascii="Times New Roman" w:hAnsi="Times New Roman" w:cs="Times New Roman"/>
          <w:sz w:val="24"/>
          <w:szCs w:val="24"/>
        </w:rPr>
      </w:pPr>
    </w:p>
    <w:p w:rsidR="00A545CA" w:rsidRDefault="00A545CA" w:rsidP="00A545CA">
      <w:pPr>
        <w:spacing w:line="480" w:lineRule="auto"/>
        <w:jc w:val="center"/>
        <w:rPr>
          <w:rFonts w:ascii="Times New Roman" w:hAnsi="Times New Roman" w:cs="Times New Roman"/>
          <w:sz w:val="24"/>
          <w:szCs w:val="24"/>
        </w:rPr>
      </w:pPr>
    </w:p>
    <w:p w:rsidR="00A545CA" w:rsidRDefault="00A545CA" w:rsidP="00A545CA">
      <w:pPr>
        <w:spacing w:line="480" w:lineRule="auto"/>
        <w:jc w:val="center"/>
        <w:rPr>
          <w:rFonts w:ascii="Times New Roman" w:hAnsi="Times New Roman" w:cs="Times New Roman"/>
          <w:sz w:val="24"/>
          <w:szCs w:val="24"/>
        </w:rPr>
      </w:pPr>
    </w:p>
    <w:p w:rsidR="00A545CA" w:rsidRDefault="00A545CA" w:rsidP="00A545CA">
      <w:pPr>
        <w:spacing w:line="480" w:lineRule="auto"/>
        <w:jc w:val="center"/>
        <w:rPr>
          <w:rFonts w:ascii="Times New Roman" w:hAnsi="Times New Roman" w:cs="Times New Roman"/>
          <w:sz w:val="24"/>
          <w:szCs w:val="24"/>
        </w:rPr>
      </w:pPr>
    </w:p>
    <w:p w:rsidR="00A545CA" w:rsidRDefault="00A545CA" w:rsidP="00A545CA">
      <w:pPr>
        <w:spacing w:line="480" w:lineRule="auto"/>
        <w:jc w:val="center"/>
        <w:rPr>
          <w:rFonts w:ascii="Times New Roman" w:hAnsi="Times New Roman" w:cs="Times New Roman"/>
          <w:sz w:val="24"/>
          <w:szCs w:val="24"/>
        </w:rPr>
      </w:pPr>
    </w:p>
    <w:p w:rsidR="00A545CA" w:rsidRDefault="00A545CA" w:rsidP="00A545CA">
      <w:pPr>
        <w:spacing w:line="480" w:lineRule="auto"/>
        <w:jc w:val="center"/>
        <w:rPr>
          <w:rFonts w:ascii="Times New Roman" w:hAnsi="Times New Roman" w:cs="Times New Roman"/>
          <w:sz w:val="24"/>
          <w:szCs w:val="24"/>
        </w:rPr>
      </w:pPr>
    </w:p>
    <w:p w:rsidR="00A545CA" w:rsidRDefault="00A545CA" w:rsidP="00A545CA">
      <w:pPr>
        <w:spacing w:line="480" w:lineRule="auto"/>
        <w:jc w:val="center"/>
        <w:rPr>
          <w:rFonts w:ascii="Times New Roman" w:hAnsi="Times New Roman" w:cs="Times New Roman"/>
          <w:sz w:val="24"/>
          <w:szCs w:val="24"/>
        </w:rPr>
      </w:pPr>
    </w:p>
    <w:p w:rsidR="00A545CA" w:rsidRDefault="00A545CA" w:rsidP="00A545CA">
      <w:pPr>
        <w:spacing w:line="480" w:lineRule="auto"/>
        <w:jc w:val="center"/>
        <w:rPr>
          <w:rFonts w:ascii="Times New Roman" w:hAnsi="Times New Roman" w:cs="Times New Roman"/>
          <w:sz w:val="24"/>
          <w:szCs w:val="24"/>
        </w:rPr>
      </w:pPr>
    </w:p>
    <w:p w:rsidR="00A545CA" w:rsidRDefault="00A545CA" w:rsidP="00A545CA">
      <w:pPr>
        <w:spacing w:line="480" w:lineRule="auto"/>
        <w:jc w:val="center"/>
        <w:rPr>
          <w:rFonts w:ascii="Times New Roman" w:hAnsi="Times New Roman" w:cs="Times New Roman"/>
          <w:sz w:val="24"/>
          <w:szCs w:val="24"/>
        </w:rPr>
      </w:pPr>
      <w:r w:rsidRPr="00A545CA">
        <w:rPr>
          <w:rFonts w:ascii="Times New Roman" w:hAnsi="Times New Roman" w:cs="Times New Roman"/>
          <w:sz w:val="24"/>
          <w:szCs w:val="24"/>
        </w:rPr>
        <w:t>American Industry Classification System</w:t>
      </w:r>
    </w:p>
    <w:p w:rsidR="00A545CA" w:rsidRDefault="00A545CA" w:rsidP="00A545C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545CA" w:rsidRDefault="00A545CA" w:rsidP="00A545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545CA" w:rsidRDefault="00A545CA" w:rsidP="00A545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545CA" w:rsidRDefault="00A545CA">
      <w:pPr>
        <w:rPr>
          <w:rFonts w:ascii="Times New Roman" w:hAnsi="Times New Roman" w:cs="Times New Roman"/>
          <w:sz w:val="24"/>
          <w:szCs w:val="24"/>
        </w:rPr>
      </w:pPr>
      <w:r>
        <w:rPr>
          <w:rFonts w:ascii="Times New Roman" w:hAnsi="Times New Roman" w:cs="Times New Roman"/>
          <w:sz w:val="24"/>
          <w:szCs w:val="24"/>
        </w:rPr>
        <w:br w:type="page"/>
      </w:r>
    </w:p>
    <w:p w:rsidR="00A545CA" w:rsidRPr="00A545CA" w:rsidRDefault="00A545CA" w:rsidP="00A545CA">
      <w:pPr>
        <w:spacing w:line="480" w:lineRule="auto"/>
        <w:jc w:val="center"/>
        <w:rPr>
          <w:rFonts w:ascii="Times New Roman" w:hAnsi="Times New Roman" w:cs="Times New Roman"/>
          <w:sz w:val="24"/>
          <w:szCs w:val="24"/>
        </w:rPr>
      </w:pPr>
      <w:r w:rsidRPr="00A545CA">
        <w:rPr>
          <w:rFonts w:ascii="Times New Roman" w:hAnsi="Times New Roman" w:cs="Times New Roman"/>
          <w:sz w:val="24"/>
          <w:szCs w:val="24"/>
        </w:rPr>
        <w:lastRenderedPageBreak/>
        <w:t>American Industry Classification System</w:t>
      </w:r>
    </w:p>
    <w:p w:rsidR="00A545CA" w:rsidRPr="00A545CA" w:rsidRDefault="00A545CA" w:rsidP="00A545CA">
      <w:pPr>
        <w:spacing w:line="480" w:lineRule="auto"/>
        <w:ind w:firstLine="720"/>
        <w:rPr>
          <w:rFonts w:ascii="Times New Roman" w:hAnsi="Times New Roman" w:cs="Times New Roman"/>
          <w:sz w:val="24"/>
          <w:szCs w:val="24"/>
        </w:rPr>
      </w:pPr>
      <w:r w:rsidRPr="00A545CA">
        <w:rPr>
          <w:rFonts w:ascii="Times New Roman" w:hAnsi="Times New Roman" w:cs="Times New Roman"/>
          <w:sz w:val="24"/>
          <w:szCs w:val="24"/>
        </w:rPr>
        <w:t>The types of industries govern th</w:t>
      </w:r>
      <w:r w:rsidR="004A0FE9">
        <w:rPr>
          <w:rFonts w:ascii="Times New Roman" w:hAnsi="Times New Roman" w:cs="Times New Roman"/>
          <w:sz w:val="24"/>
          <w:szCs w:val="24"/>
        </w:rPr>
        <w:t xml:space="preserve">e </w:t>
      </w:r>
      <w:r w:rsidR="004A0FE9" w:rsidRPr="004A0FE9">
        <w:rPr>
          <w:rFonts w:ascii="Times New Roman" w:hAnsi="Times New Roman" w:cs="Times New Roman"/>
          <w:sz w:val="24"/>
          <w:szCs w:val="24"/>
          <w:lang w:val="en-US"/>
        </w:rPr>
        <w:t>boundaries of the Pharmaceutical and medicine manufacturing NAICS 32541 and Breweries NAICS 312120</w:t>
      </w:r>
      <w:r w:rsidR="004A0FE9">
        <w:rPr>
          <w:rFonts w:ascii="Times New Roman" w:hAnsi="Times New Roman" w:cs="Times New Roman"/>
          <w:sz w:val="24"/>
          <w:szCs w:val="24"/>
        </w:rPr>
        <w:t xml:space="preserve">. </w:t>
      </w:r>
      <w:r w:rsidRPr="00A545CA">
        <w:rPr>
          <w:rFonts w:ascii="Times New Roman" w:hAnsi="Times New Roman" w:cs="Times New Roman"/>
          <w:sz w:val="24"/>
          <w:szCs w:val="24"/>
        </w:rPr>
        <w:t xml:space="preserve">Breweries NAICS 312120 can be </w:t>
      </w:r>
      <w:r w:rsidR="00F83540">
        <w:rPr>
          <w:rFonts w:ascii="Times New Roman" w:hAnsi="Times New Roman" w:cs="Times New Roman"/>
          <w:sz w:val="24"/>
          <w:szCs w:val="24"/>
        </w:rPr>
        <w:t xml:space="preserve">regarded as </w:t>
      </w:r>
      <w:r w:rsidRPr="00A545CA">
        <w:rPr>
          <w:rFonts w:ascii="Times New Roman" w:hAnsi="Times New Roman" w:cs="Times New Roman"/>
          <w:sz w:val="24"/>
          <w:szCs w:val="24"/>
        </w:rPr>
        <w:t>the final level code as far as the manufacturing sector is concerned (Carraher, 2018). Some of the common types of examples that exist under Breweries NAICS 312120 are beer brewing, ale brewing, lager brewing, malt liquor brewing and porter brewing among others. On the other hand, NAICS Code 32541 are governed by pharmaceutical and medicine manufacturing. In general, the industry encompasses different establishments which are mainly under the processing or the manufacturer of medicinal and biological products. Some of the leading companies that govern pharmaceutical and medicine are; Amgen Inc, Allergan Inc, Teva North America, and Astellas, among others</w:t>
      </w:r>
      <w:r w:rsidR="004A0FE9">
        <w:rPr>
          <w:rFonts w:ascii="Times New Roman" w:hAnsi="Times New Roman" w:cs="Times New Roman"/>
          <w:sz w:val="24"/>
          <w:szCs w:val="24"/>
        </w:rPr>
        <w:t xml:space="preserve"> (Carraher, 2018)</w:t>
      </w:r>
      <w:r w:rsidRPr="00A545CA">
        <w:rPr>
          <w:rFonts w:ascii="Times New Roman" w:hAnsi="Times New Roman" w:cs="Times New Roman"/>
          <w:sz w:val="24"/>
          <w:szCs w:val="24"/>
        </w:rPr>
        <w:t>. Market segments for both Breweries NAICS 312120 and NAICS Code 32541 aim at producing products which w</w:t>
      </w:r>
      <w:r w:rsidR="004A0FE9">
        <w:rPr>
          <w:rFonts w:ascii="Times New Roman" w:hAnsi="Times New Roman" w:cs="Times New Roman"/>
          <w:sz w:val="24"/>
          <w:szCs w:val="24"/>
        </w:rPr>
        <w:t xml:space="preserve">ill satisfy the patient’s needs. </w:t>
      </w:r>
      <w:r w:rsidRPr="00A545CA">
        <w:rPr>
          <w:rFonts w:ascii="Times New Roman" w:hAnsi="Times New Roman" w:cs="Times New Roman"/>
          <w:sz w:val="24"/>
          <w:szCs w:val="24"/>
        </w:rPr>
        <w:t xml:space="preserve">On the same note, geographical segments depend on the places that </w:t>
      </w:r>
      <w:r w:rsidR="004A0FE9">
        <w:rPr>
          <w:rFonts w:ascii="Times New Roman" w:hAnsi="Times New Roman" w:cs="Times New Roman"/>
          <w:sz w:val="24"/>
          <w:szCs w:val="24"/>
        </w:rPr>
        <w:t>companie</w:t>
      </w:r>
      <w:r w:rsidRPr="00A545CA">
        <w:rPr>
          <w:rFonts w:ascii="Times New Roman" w:hAnsi="Times New Roman" w:cs="Times New Roman"/>
          <w:sz w:val="24"/>
          <w:szCs w:val="24"/>
        </w:rPr>
        <w:t xml:space="preserve">s are situated, and as such, </w:t>
      </w:r>
      <w:r w:rsidR="004A0FE9">
        <w:rPr>
          <w:rFonts w:ascii="Times New Roman" w:hAnsi="Times New Roman" w:cs="Times New Roman"/>
          <w:sz w:val="24"/>
          <w:szCs w:val="24"/>
        </w:rPr>
        <w:t>buyers will buy</w:t>
      </w:r>
      <w:r w:rsidRPr="00A545CA">
        <w:rPr>
          <w:rFonts w:ascii="Times New Roman" w:hAnsi="Times New Roman" w:cs="Times New Roman"/>
          <w:sz w:val="24"/>
          <w:szCs w:val="24"/>
        </w:rPr>
        <w:t xml:space="preserve"> a lot </w:t>
      </w:r>
      <w:r w:rsidR="004A0FE9">
        <w:rPr>
          <w:rFonts w:ascii="Times New Roman" w:hAnsi="Times New Roman" w:cs="Times New Roman"/>
          <w:sz w:val="24"/>
          <w:szCs w:val="24"/>
        </w:rPr>
        <w:t xml:space="preserve">of products, hence adding revenue. </w:t>
      </w:r>
    </w:p>
    <w:p w:rsidR="00A545CA" w:rsidRPr="00A545CA" w:rsidRDefault="00A545CA" w:rsidP="004A0FE9">
      <w:pPr>
        <w:spacing w:line="480" w:lineRule="auto"/>
        <w:ind w:firstLine="720"/>
        <w:rPr>
          <w:rFonts w:ascii="Times New Roman" w:hAnsi="Times New Roman" w:cs="Times New Roman"/>
          <w:sz w:val="24"/>
          <w:szCs w:val="24"/>
        </w:rPr>
      </w:pPr>
      <w:r w:rsidRPr="00A545CA">
        <w:rPr>
          <w:rFonts w:ascii="Times New Roman" w:hAnsi="Times New Roman" w:cs="Times New Roman"/>
          <w:sz w:val="24"/>
          <w:szCs w:val="24"/>
        </w:rPr>
        <w:t>The key players are the stakeholders as well as the customers. Stakeholders are vital since t</w:t>
      </w:r>
      <w:r w:rsidR="004A0FE9">
        <w:rPr>
          <w:rFonts w:ascii="Times New Roman" w:hAnsi="Times New Roman" w:cs="Times New Roman"/>
          <w:sz w:val="24"/>
          <w:szCs w:val="24"/>
        </w:rPr>
        <w:t>hey fund and support the industries</w:t>
      </w:r>
      <w:r w:rsidRPr="00A545CA">
        <w:rPr>
          <w:rFonts w:ascii="Times New Roman" w:hAnsi="Times New Roman" w:cs="Times New Roman"/>
          <w:sz w:val="24"/>
          <w:szCs w:val="24"/>
        </w:rPr>
        <w:t xml:space="preserve"> to ensure that revenue and profits </w:t>
      </w:r>
      <w:r w:rsidR="004A0FE9">
        <w:rPr>
          <w:rFonts w:ascii="Times New Roman" w:hAnsi="Times New Roman" w:cs="Times New Roman"/>
          <w:sz w:val="24"/>
          <w:szCs w:val="24"/>
        </w:rPr>
        <w:t xml:space="preserve">are received </w:t>
      </w:r>
      <w:r w:rsidRPr="00A545CA">
        <w:rPr>
          <w:rFonts w:ascii="Times New Roman" w:hAnsi="Times New Roman" w:cs="Times New Roman"/>
          <w:sz w:val="24"/>
          <w:szCs w:val="24"/>
        </w:rPr>
        <w:t>upon selling products. On the same note, customers are essential since they are always included in the geographic segments. The first force is the intensity of r</w:t>
      </w:r>
      <w:r w:rsidR="004A0FE9">
        <w:rPr>
          <w:rFonts w:ascii="Times New Roman" w:hAnsi="Times New Roman" w:cs="Times New Roman"/>
          <w:sz w:val="24"/>
          <w:szCs w:val="24"/>
        </w:rPr>
        <w:t>ivalry, which is measured by</w:t>
      </w:r>
      <w:r w:rsidRPr="00A545CA">
        <w:rPr>
          <w:rFonts w:ascii="Times New Roman" w:hAnsi="Times New Roman" w:cs="Times New Roman"/>
          <w:sz w:val="24"/>
          <w:szCs w:val="24"/>
        </w:rPr>
        <w:t xml:space="preserve"> the concentration of the industry, and as such, the less the rivalry, the more </w:t>
      </w:r>
      <w:r w:rsidR="004A0FE9">
        <w:rPr>
          <w:rFonts w:ascii="Times New Roman" w:hAnsi="Times New Roman" w:cs="Times New Roman"/>
          <w:sz w:val="24"/>
          <w:szCs w:val="24"/>
        </w:rPr>
        <w:t>the concentrated the industry becomes</w:t>
      </w:r>
      <w:r w:rsidRPr="00A545CA">
        <w:rPr>
          <w:rFonts w:ascii="Times New Roman" w:hAnsi="Times New Roman" w:cs="Times New Roman"/>
          <w:sz w:val="24"/>
          <w:szCs w:val="24"/>
        </w:rPr>
        <w:t xml:space="preserve">. Some of the companies in this category are Miller Brewing and Budweiser Select (Hyman et al., 2019). The second force is substitute’s availability, and as such, this influences profits for industries since consumers may select substitute goods over this industry. The third force is the bargaining power of suppliers, which is mainly governed by the number of all the essential inputs, strength and size of the </w:t>
      </w:r>
      <w:r w:rsidRPr="00A545CA">
        <w:rPr>
          <w:rFonts w:ascii="Times New Roman" w:hAnsi="Times New Roman" w:cs="Times New Roman"/>
          <w:sz w:val="24"/>
          <w:szCs w:val="24"/>
        </w:rPr>
        <w:lastRenderedPageBreak/>
        <w:t>suppliers and the uniqueness of the particular project, upon influencing prices. The fourth force is the bargaining power for buyers, which is affected by the number of buyers in the overall market. Companies with less powerful buyers are in a good position of dictating terms. The last force is the threat of new entry, and this means that profitable markets motivate new entrants. Factors such as capital requirements and government regulations may affect the economies of scale.</w:t>
      </w:r>
    </w:p>
    <w:p w:rsidR="00A545CA" w:rsidRPr="00A545CA" w:rsidRDefault="00A545CA" w:rsidP="004A0FE9">
      <w:pPr>
        <w:spacing w:line="480" w:lineRule="auto"/>
        <w:ind w:firstLine="720"/>
        <w:rPr>
          <w:rFonts w:ascii="Times New Roman" w:hAnsi="Times New Roman" w:cs="Times New Roman"/>
          <w:sz w:val="24"/>
          <w:szCs w:val="24"/>
        </w:rPr>
      </w:pPr>
      <w:r w:rsidRPr="00A545CA">
        <w:rPr>
          <w:rFonts w:ascii="Times New Roman" w:hAnsi="Times New Roman" w:cs="Times New Roman"/>
          <w:sz w:val="24"/>
          <w:szCs w:val="24"/>
        </w:rPr>
        <w:t>Pharmaceutical and medicine manufacturing NAICS 32541 embrace forces such as substitute’s availability and several buyers as they aim to make more profits (Carraher, 2018). The strength of the suppliers in</w:t>
      </w:r>
      <w:r w:rsidR="004A0FE9">
        <w:rPr>
          <w:rFonts w:ascii="Times New Roman" w:hAnsi="Times New Roman" w:cs="Times New Roman"/>
          <w:sz w:val="24"/>
          <w:szCs w:val="24"/>
        </w:rPr>
        <w:t xml:space="preserve">fluences breweries NAICS 312120, in which it </w:t>
      </w:r>
      <w:r w:rsidRPr="00A545CA">
        <w:rPr>
          <w:rFonts w:ascii="Times New Roman" w:hAnsi="Times New Roman" w:cs="Times New Roman"/>
          <w:sz w:val="24"/>
          <w:szCs w:val="24"/>
        </w:rPr>
        <w:t>embrace forces such as new entries and bargai</w:t>
      </w:r>
      <w:r w:rsidR="004A0FE9">
        <w:rPr>
          <w:rFonts w:ascii="Times New Roman" w:hAnsi="Times New Roman" w:cs="Times New Roman"/>
          <w:sz w:val="24"/>
          <w:szCs w:val="24"/>
        </w:rPr>
        <w:t>ning power for suppliers</w:t>
      </w:r>
      <w:r w:rsidRPr="00A545CA">
        <w:rPr>
          <w:rFonts w:ascii="Times New Roman" w:hAnsi="Times New Roman" w:cs="Times New Roman"/>
          <w:sz w:val="24"/>
          <w:szCs w:val="24"/>
        </w:rPr>
        <w:t xml:space="preserve">. The main similarity of the industries structure is the intensity of rivalry since industries aim at making profits through all means. The dimensions of the five forces which are most likely to change in the near future are buyer power and supplier power, </w:t>
      </w:r>
      <w:r w:rsidR="004A0FE9">
        <w:rPr>
          <w:rFonts w:ascii="Times New Roman" w:hAnsi="Times New Roman" w:cs="Times New Roman"/>
          <w:sz w:val="24"/>
          <w:szCs w:val="24"/>
        </w:rPr>
        <w:t>since</w:t>
      </w:r>
      <w:r w:rsidRPr="00A545CA">
        <w:rPr>
          <w:rFonts w:ascii="Times New Roman" w:hAnsi="Times New Roman" w:cs="Times New Roman"/>
          <w:sz w:val="24"/>
          <w:szCs w:val="24"/>
        </w:rPr>
        <w:t xml:space="preserve"> the market </w:t>
      </w:r>
      <w:r w:rsidR="004A0FE9">
        <w:rPr>
          <w:rFonts w:ascii="Times New Roman" w:hAnsi="Times New Roman" w:cs="Times New Roman"/>
          <w:sz w:val="24"/>
          <w:szCs w:val="24"/>
        </w:rPr>
        <w:t>continue to have</w:t>
      </w:r>
      <w:r w:rsidRPr="00A545CA">
        <w:rPr>
          <w:rFonts w:ascii="Times New Roman" w:hAnsi="Times New Roman" w:cs="Times New Roman"/>
          <w:sz w:val="24"/>
          <w:szCs w:val="24"/>
        </w:rPr>
        <w:t xml:space="preserve"> multiple changes</w:t>
      </w:r>
      <w:r w:rsidR="004A0FE9">
        <w:rPr>
          <w:rFonts w:ascii="Times New Roman" w:hAnsi="Times New Roman" w:cs="Times New Roman"/>
          <w:sz w:val="24"/>
          <w:szCs w:val="24"/>
        </w:rPr>
        <w:t xml:space="preserve"> depending on the nature of the market</w:t>
      </w:r>
      <w:r w:rsidRPr="00A545CA">
        <w:rPr>
          <w:rFonts w:ascii="Times New Roman" w:hAnsi="Times New Roman" w:cs="Times New Roman"/>
          <w:sz w:val="24"/>
          <w:szCs w:val="24"/>
        </w:rPr>
        <w:t>. The threat of substitutions is expected to stay relative since the power of suppliers is influenced by alternatives based on the response after price increases, which may vary according to the market.</w:t>
      </w:r>
    </w:p>
    <w:p w:rsidR="004A0FE9" w:rsidRDefault="004A0FE9" w:rsidP="00A545CA">
      <w:pPr>
        <w:spacing w:line="480" w:lineRule="auto"/>
        <w:rPr>
          <w:rFonts w:ascii="Times New Roman" w:hAnsi="Times New Roman" w:cs="Times New Roman"/>
          <w:sz w:val="24"/>
          <w:szCs w:val="24"/>
        </w:rPr>
      </w:pPr>
    </w:p>
    <w:p w:rsidR="004A0FE9" w:rsidRDefault="004A0FE9" w:rsidP="00A545CA">
      <w:pPr>
        <w:spacing w:line="480" w:lineRule="auto"/>
        <w:rPr>
          <w:rFonts w:ascii="Times New Roman" w:hAnsi="Times New Roman" w:cs="Times New Roman"/>
          <w:sz w:val="24"/>
          <w:szCs w:val="24"/>
        </w:rPr>
      </w:pPr>
    </w:p>
    <w:p w:rsidR="004A0FE9" w:rsidRDefault="004A0FE9" w:rsidP="00A545CA">
      <w:pPr>
        <w:spacing w:line="480" w:lineRule="auto"/>
        <w:rPr>
          <w:rFonts w:ascii="Times New Roman" w:hAnsi="Times New Roman" w:cs="Times New Roman"/>
          <w:sz w:val="24"/>
          <w:szCs w:val="24"/>
        </w:rPr>
      </w:pPr>
    </w:p>
    <w:p w:rsidR="004A0FE9" w:rsidRDefault="004A0FE9" w:rsidP="00A545CA">
      <w:pPr>
        <w:spacing w:line="480" w:lineRule="auto"/>
        <w:rPr>
          <w:rFonts w:ascii="Times New Roman" w:hAnsi="Times New Roman" w:cs="Times New Roman"/>
          <w:sz w:val="24"/>
          <w:szCs w:val="24"/>
        </w:rPr>
      </w:pPr>
    </w:p>
    <w:p w:rsidR="004A0FE9" w:rsidRDefault="004A0FE9" w:rsidP="00A545CA">
      <w:pPr>
        <w:spacing w:line="480" w:lineRule="auto"/>
        <w:rPr>
          <w:rFonts w:ascii="Times New Roman" w:hAnsi="Times New Roman" w:cs="Times New Roman"/>
          <w:sz w:val="24"/>
          <w:szCs w:val="24"/>
        </w:rPr>
      </w:pPr>
    </w:p>
    <w:p w:rsidR="004A0FE9" w:rsidRDefault="004A0FE9" w:rsidP="00A545CA">
      <w:pPr>
        <w:spacing w:line="480" w:lineRule="auto"/>
        <w:rPr>
          <w:rFonts w:ascii="Times New Roman" w:hAnsi="Times New Roman" w:cs="Times New Roman"/>
          <w:sz w:val="24"/>
          <w:szCs w:val="24"/>
        </w:rPr>
      </w:pPr>
    </w:p>
    <w:p w:rsidR="00F83540" w:rsidRDefault="00F83540" w:rsidP="004A0FE9">
      <w:pPr>
        <w:spacing w:line="480" w:lineRule="auto"/>
        <w:jc w:val="center"/>
        <w:rPr>
          <w:rFonts w:ascii="Times New Roman" w:hAnsi="Times New Roman" w:cs="Times New Roman"/>
          <w:sz w:val="24"/>
          <w:szCs w:val="24"/>
        </w:rPr>
      </w:pPr>
      <w:bookmarkStart w:id="0" w:name="_GoBack"/>
      <w:bookmarkEnd w:id="0"/>
    </w:p>
    <w:p w:rsidR="005338F9" w:rsidRPr="00A545CA" w:rsidRDefault="005338F9" w:rsidP="004A0FE9">
      <w:pPr>
        <w:spacing w:line="480" w:lineRule="auto"/>
        <w:jc w:val="center"/>
        <w:rPr>
          <w:rFonts w:ascii="Times New Roman" w:hAnsi="Times New Roman" w:cs="Times New Roman"/>
          <w:sz w:val="24"/>
          <w:szCs w:val="24"/>
        </w:rPr>
      </w:pPr>
      <w:r w:rsidRPr="00A545CA">
        <w:rPr>
          <w:rFonts w:ascii="Times New Roman" w:hAnsi="Times New Roman" w:cs="Times New Roman"/>
          <w:sz w:val="24"/>
          <w:szCs w:val="24"/>
        </w:rPr>
        <w:lastRenderedPageBreak/>
        <w:t>References</w:t>
      </w:r>
    </w:p>
    <w:p w:rsidR="005338F9" w:rsidRPr="004A0FE9" w:rsidRDefault="005338F9" w:rsidP="004A0FE9">
      <w:pPr>
        <w:spacing w:line="480" w:lineRule="auto"/>
        <w:ind w:left="720" w:hanging="720"/>
        <w:rPr>
          <w:rFonts w:ascii="Times New Roman" w:hAnsi="Times New Roman" w:cs="Times New Roman"/>
          <w:sz w:val="24"/>
          <w:szCs w:val="24"/>
          <w:shd w:val="clear" w:color="auto" w:fill="FFFFFF"/>
        </w:rPr>
      </w:pPr>
      <w:r w:rsidRPr="004A0FE9">
        <w:rPr>
          <w:rFonts w:ascii="Times New Roman" w:hAnsi="Times New Roman" w:cs="Times New Roman"/>
          <w:sz w:val="24"/>
          <w:szCs w:val="24"/>
          <w:shd w:val="clear" w:color="auto" w:fill="FFFFFF"/>
        </w:rPr>
        <w:t>Carraher, S. M. (2018). An examination of an instrument to measure Porter’s Five Forces Model. In </w:t>
      </w:r>
      <w:r w:rsidRPr="004A0FE9">
        <w:rPr>
          <w:rFonts w:ascii="Times New Roman" w:hAnsi="Times New Roman" w:cs="Times New Roman"/>
          <w:i/>
          <w:iCs/>
          <w:sz w:val="24"/>
          <w:szCs w:val="24"/>
          <w:shd w:val="clear" w:color="auto" w:fill="FFFFFF"/>
        </w:rPr>
        <w:t>International Journal of Arts &amp; Sciences Conference at Harvard University</w:t>
      </w:r>
      <w:r w:rsidRPr="004A0FE9">
        <w:rPr>
          <w:rFonts w:ascii="Times New Roman" w:hAnsi="Times New Roman" w:cs="Times New Roman"/>
          <w:sz w:val="24"/>
          <w:szCs w:val="24"/>
          <w:shd w:val="clear" w:color="auto" w:fill="FFFFFF"/>
        </w:rPr>
        <w:t>.</w:t>
      </w:r>
    </w:p>
    <w:p w:rsidR="005338F9" w:rsidRPr="004A0FE9" w:rsidRDefault="005338F9" w:rsidP="004A0FE9">
      <w:pPr>
        <w:spacing w:line="480" w:lineRule="auto"/>
        <w:ind w:left="720" w:hanging="720"/>
        <w:rPr>
          <w:rFonts w:ascii="Times New Roman" w:hAnsi="Times New Roman" w:cs="Times New Roman"/>
          <w:sz w:val="24"/>
          <w:szCs w:val="24"/>
        </w:rPr>
      </w:pPr>
      <w:r w:rsidRPr="004A0FE9">
        <w:rPr>
          <w:rFonts w:ascii="Times New Roman" w:hAnsi="Times New Roman" w:cs="Times New Roman"/>
          <w:sz w:val="24"/>
          <w:szCs w:val="24"/>
          <w:shd w:val="clear" w:color="auto" w:fill="FFFFFF"/>
        </w:rPr>
        <w:t>Hyman, B., Ozalp, N., Varbanov, P. S., &amp; Van Fan, Y. (2019). Modeling energy flows in industry: General methodology to develop process step models. </w:t>
      </w:r>
      <w:r w:rsidRPr="004A0FE9">
        <w:rPr>
          <w:rFonts w:ascii="Times New Roman" w:hAnsi="Times New Roman" w:cs="Times New Roman"/>
          <w:i/>
          <w:iCs/>
          <w:sz w:val="24"/>
          <w:szCs w:val="24"/>
          <w:shd w:val="clear" w:color="auto" w:fill="FFFFFF"/>
        </w:rPr>
        <w:t>Energy conversion and management</w:t>
      </w:r>
      <w:r w:rsidRPr="004A0FE9">
        <w:rPr>
          <w:rFonts w:ascii="Times New Roman" w:hAnsi="Times New Roman" w:cs="Times New Roman"/>
          <w:sz w:val="24"/>
          <w:szCs w:val="24"/>
          <w:shd w:val="clear" w:color="auto" w:fill="FFFFFF"/>
        </w:rPr>
        <w:t>, </w:t>
      </w:r>
      <w:r w:rsidRPr="004A0FE9">
        <w:rPr>
          <w:rFonts w:ascii="Times New Roman" w:hAnsi="Times New Roman" w:cs="Times New Roman"/>
          <w:i/>
          <w:iCs/>
          <w:sz w:val="24"/>
          <w:szCs w:val="24"/>
          <w:shd w:val="clear" w:color="auto" w:fill="FFFFFF"/>
        </w:rPr>
        <w:t>181</w:t>
      </w:r>
      <w:r w:rsidRPr="004A0FE9">
        <w:rPr>
          <w:rFonts w:ascii="Times New Roman" w:hAnsi="Times New Roman" w:cs="Times New Roman"/>
          <w:sz w:val="24"/>
          <w:szCs w:val="24"/>
          <w:shd w:val="clear" w:color="auto" w:fill="FFFFFF"/>
        </w:rPr>
        <w:t>, 528-543.</w:t>
      </w:r>
    </w:p>
    <w:sectPr w:rsidR="005338F9" w:rsidRPr="004A0FE9" w:rsidSect="00A545C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03B" w:rsidRDefault="009B603B" w:rsidP="00A545CA">
      <w:pPr>
        <w:spacing w:after="0" w:line="240" w:lineRule="auto"/>
      </w:pPr>
      <w:r>
        <w:separator/>
      </w:r>
    </w:p>
  </w:endnote>
  <w:endnote w:type="continuationSeparator" w:id="1">
    <w:p w:rsidR="009B603B" w:rsidRDefault="009B603B" w:rsidP="00A545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03B" w:rsidRDefault="009B603B" w:rsidP="00A545CA">
      <w:pPr>
        <w:spacing w:after="0" w:line="240" w:lineRule="auto"/>
      </w:pPr>
      <w:r>
        <w:separator/>
      </w:r>
    </w:p>
  </w:footnote>
  <w:footnote w:type="continuationSeparator" w:id="1">
    <w:p w:rsidR="009B603B" w:rsidRDefault="009B603B" w:rsidP="00A545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22969280"/>
      <w:docPartObj>
        <w:docPartGallery w:val="Page Numbers (Top of Page)"/>
        <w:docPartUnique/>
      </w:docPartObj>
    </w:sdtPr>
    <w:sdtEndPr>
      <w:rPr>
        <w:noProof/>
      </w:rPr>
    </w:sdtEndPr>
    <w:sdtContent>
      <w:p w:rsidR="00A545CA" w:rsidRPr="00A545CA" w:rsidRDefault="00A545CA" w:rsidP="00A545CA">
        <w:pPr>
          <w:pStyle w:val="Header"/>
          <w:spacing w:line="480" w:lineRule="auto"/>
          <w:rPr>
            <w:rFonts w:ascii="Times New Roman" w:hAnsi="Times New Roman" w:cs="Times New Roman"/>
            <w:sz w:val="24"/>
            <w:szCs w:val="24"/>
          </w:rPr>
        </w:pPr>
        <w:r w:rsidRPr="00A545CA">
          <w:rPr>
            <w:rFonts w:ascii="Times New Roman" w:hAnsi="Times New Roman" w:cs="Times New Roman"/>
            <w:sz w:val="24"/>
            <w:szCs w:val="24"/>
          </w:rPr>
          <w:t>AMERICAN INDUSTRY CLASSIFICATION SYSTEM</w:t>
        </w:r>
        <w:r w:rsidR="00F83540">
          <w:rPr>
            <w:rFonts w:ascii="Times New Roman" w:hAnsi="Times New Roman" w:cs="Times New Roman"/>
            <w:sz w:val="24"/>
            <w:szCs w:val="24"/>
          </w:rPr>
          <w:t xml:space="preserve">                                                       </w:t>
        </w:r>
        <w:r w:rsidR="00F71F67" w:rsidRPr="00A545CA">
          <w:rPr>
            <w:rFonts w:ascii="Times New Roman" w:hAnsi="Times New Roman" w:cs="Times New Roman"/>
            <w:sz w:val="24"/>
            <w:szCs w:val="24"/>
          </w:rPr>
          <w:fldChar w:fldCharType="begin"/>
        </w:r>
        <w:r w:rsidRPr="00A545CA">
          <w:rPr>
            <w:rFonts w:ascii="Times New Roman" w:hAnsi="Times New Roman" w:cs="Times New Roman"/>
            <w:sz w:val="24"/>
            <w:szCs w:val="24"/>
          </w:rPr>
          <w:instrText xml:space="preserve"> PAGE   \* MERGEFORMAT </w:instrText>
        </w:r>
        <w:r w:rsidR="00F71F67" w:rsidRPr="00A545CA">
          <w:rPr>
            <w:rFonts w:ascii="Times New Roman" w:hAnsi="Times New Roman" w:cs="Times New Roman"/>
            <w:sz w:val="24"/>
            <w:szCs w:val="24"/>
          </w:rPr>
          <w:fldChar w:fldCharType="separate"/>
        </w:r>
        <w:r w:rsidR="00F83540">
          <w:rPr>
            <w:rFonts w:ascii="Times New Roman" w:hAnsi="Times New Roman" w:cs="Times New Roman"/>
            <w:noProof/>
            <w:sz w:val="24"/>
            <w:szCs w:val="24"/>
          </w:rPr>
          <w:t>3</w:t>
        </w:r>
        <w:r w:rsidR="00F71F67" w:rsidRPr="00A545C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CA" w:rsidRPr="00A545CA" w:rsidRDefault="00A545CA" w:rsidP="00A545CA">
    <w:pPr>
      <w:pStyle w:val="Header"/>
      <w:spacing w:line="480" w:lineRule="auto"/>
      <w:rPr>
        <w:rFonts w:ascii="Times New Roman" w:hAnsi="Times New Roman" w:cs="Times New Roman"/>
        <w:sz w:val="24"/>
        <w:szCs w:val="24"/>
      </w:rPr>
    </w:pPr>
    <w:r w:rsidRPr="00A545CA">
      <w:rPr>
        <w:rFonts w:ascii="Times New Roman" w:hAnsi="Times New Roman" w:cs="Times New Roman"/>
        <w:sz w:val="24"/>
        <w:szCs w:val="24"/>
      </w:rPr>
      <w:t>Running head: AMERICAN INDUSTRY CLASSIFICATION SYSTEM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42D9"/>
    <w:rsid w:val="00190335"/>
    <w:rsid w:val="001E22F9"/>
    <w:rsid w:val="00361056"/>
    <w:rsid w:val="00471D01"/>
    <w:rsid w:val="00491307"/>
    <w:rsid w:val="004A0FE9"/>
    <w:rsid w:val="004E790C"/>
    <w:rsid w:val="005338F9"/>
    <w:rsid w:val="00577E65"/>
    <w:rsid w:val="008435FE"/>
    <w:rsid w:val="00926AA5"/>
    <w:rsid w:val="00934A2B"/>
    <w:rsid w:val="009B603B"/>
    <w:rsid w:val="009C507C"/>
    <w:rsid w:val="009F6A36"/>
    <w:rsid w:val="00A545CA"/>
    <w:rsid w:val="00A8295D"/>
    <w:rsid w:val="00AC2B3D"/>
    <w:rsid w:val="00AC5340"/>
    <w:rsid w:val="00AF42D9"/>
    <w:rsid w:val="00BA1DA1"/>
    <w:rsid w:val="00BD2614"/>
    <w:rsid w:val="00CD0693"/>
    <w:rsid w:val="00F71F67"/>
    <w:rsid w:val="00F83540"/>
    <w:rsid w:val="00FE77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F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5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45CA"/>
  </w:style>
  <w:style w:type="paragraph" w:styleId="Footer">
    <w:name w:val="footer"/>
    <w:basedOn w:val="Normal"/>
    <w:link w:val="FooterChar"/>
    <w:uiPriority w:val="99"/>
    <w:unhideWhenUsed/>
    <w:rsid w:val="00A545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5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2019-09-04T21:46:00Z</dcterms:created>
  <dcterms:modified xsi:type="dcterms:W3CDTF">2019-09-04T21:46:00Z</dcterms:modified>
</cp:coreProperties>
</file>